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CA98" w14:textId="2C59F40B" w:rsidR="00825193" w:rsidRDefault="00825193" w:rsidP="0082519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EE3B68">
        <w:rPr>
          <w:rFonts w:asciiTheme="minorHAnsi" w:hAnsiTheme="minorHAnsi" w:cstheme="minorHAnsi"/>
          <w:i/>
          <w:iCs/>
        </w:rPr>
        <w:t xml:space="preserve">Warszawa, </w:t>
      </w:r>
      <w:r w:rsidR="003275E6">
        <w:rPr>
          <w:rFonts w:asciiTheme="minorHAnsi" w:hAnsiTheme="minorHAnsi" w:cstheme="minorHAnsi"/>
          <w:i/>
          <w:iCs/>
        </w:rPr>
        <w:t>12</w:t>
      </w:r>
      <w:r w:rsidRPr="00EE3B68">
        <w:rPr>
          <w:rFonts w:asciiTheme="minorHAnsi" w:hAnsiTheme="minorHAnsi" w:cstheme="minorHAnsi"/>
          <w:i/>
          <w:iCs/>
        </w:rPr>
        <w:t xml:space="preserve"> </w:t>
      </w:r>
      <w:r w:rsidR="003275E6">
        <w:rPr>
          <w:rFonts w:asciiTheme="minorHAnsi" w:hAnsiTheme="minorHAnsi" w:cstheme="minorHAnsi"/>
          <w:i/>
          <w:iCs/>
        </w:rPr>
        <w:t>lipca</w:t>
      </w:r>
      <w:r w:rsidRPr="00EE3B68">
        <w:rPr>
          <w:rFonts w:asciiTheme="minorHAnsi" w:hAnsiTheme="minorHAnsi" w:cstheme="minorHAnsi"/>
          <w:i/>
          <w:iCs/>
        </w:rPr>
        <w:t xml:space="preserve"> 2021 r.</w:t>
      </w:r>
      <w:r>
        <w:rPr>
          <w:rFonts w:asciiTheme="minorHAnsi" w:hAnsiTheme="minorHAnsi" w:cstheme="minorHAnsi"/>
          <w:i/>
          <w:iCs/>
        </w:rPr>
        <w:br/>
      </w:r>
    </w:p>
    <w:p w14:paraId="01CCEA30" w14:textId="77777777" w:rsidR="00825193" w:rsidRPr="00CE77B4" w:rsidRDefault="00825193" w:rsidP="0082519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E77B4">
        <w:rPr>
          <w:rFonts w:asciiTheme="minorHAnsi" w:hAnsiTheme="minorHAnsi" w:cstheme="minorHAnsi"/>
          <w:b/>
          <w:bCs/>
          <w:sz w:val="28"/>
          <w:szCs w:val="28"/>
        </w:rPr>
        <w:t>Ubezpieczenie ważne dla Polaków –</w:t>
      </w:r>
      <w:r w:rsidR="00F912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E77B4">
        <w:rPr>
          <w:rFonts w:asciiTheme="minorHAnsi" w:hAnsiTheme="minorHAnsi" w:cstheme="minorHAnsi"/>
          <w:b/>
          <w:bCs/>
          <w:sz w:val="28"/>
          <w:szCs w:val="28"/>
        </w:rPr>
        <w:t xml:space="preserve">84% </w:t>
      </w:r>
      <w:r w:rsidR="005B7D0C">
        <w:rPr>
          <w:rFonts w:asciiTheme="minorHAnsi" w:hAnsiTheme="minorHAnsi" w:cstheme="minorHAnsi"/>
          <w:b/>
          <w:bCs/>
          <w:sz w:val="28"/>
          <w:szCs w:val="28"/>
        </w:rPr>
        <w:t>badanych posiada</w:t>
      </w:r>
      <w:r w:rsidRPr="00CE77B4">
        <w:rPr>
          <w:rFonts w:asciiTheme="minorHAnsi" w:hAnsiTheme="minorHAnsi" w:cstheme="minorHAnsi"/>
          <w:b/>
          <w:bCs/>
          <w:sz w:val="28"/>
          <w:szCs w:val="28"/>
        </w:rPr>
        <w:t xml:space="preserve"> nieruchomość objęt</w:t>
      </w:r>
      <w:r w:rsidR="0006622B">
        <w:rPr>
          <w:rFonts w:asciiTheme="minorHAnsi" w:hAnsiTheme="minorHAnsi" w:cstheme="minorHAnsi"/>
          <w:b/>
          <w:bCs/>
          <w:sz w:val="28"/>
          <w:szCs w:val="28"/>
        </w:rPr>
        <w:t>ą</w:t>
      </w:r>
      <w:r w:rsidR="00307D3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E77B4">
        <w:rPr>
          <w:rFonts w:asciiTheme="minorHAnsi" w:hAnsiTheme="minorHAnsi" w:cstheme="minorHAnsi"/>
          <w:b/>
          <w:bCs/>
          <w:sz w:val="28"/>
          <w:szCs w:val="28"/>
        </w:rPr>
        <w:t>ubezpieczeni</w:t>
      </w:r>
      <w:r w:rsidR="00307D31">
        <w:rPr>
          <w:rFonts w:asciiTheme="minorHAnsi" w:hAnsiTheme="minorHAnsi" w:cstheme="minorHAnsi"/>
          <w:b/>
          <w:bCs/>
          <w:sz w:val="28"/>
          <w:szCs w:val="28"/>
        </w:rPr>
        <w:t>em</w:t>
      </w:r>
    </w:p>
    <w:p w14:paraId="2D40D30F" w14:textId="77777777" w:rsidR="00825193" w:rsidRDefault="00825193">
      <w:pPr>
        <w:rPr>
          <w:b/>
          <w:bCs/>
        </w:rPr>
      </w:pPr>
      <w:r>
        <w:rPr>
          <w:b/>
          <w:bCs/>
        </w:rPr>
        <w:t xml:space="preserve">Polacy mają pozytywny stosunek do ubezpieczeń i chcą </w:t>
      </w:r>
      <w:r w:rsidR="005B7D0C">
        <w:rPr>
          <w:b/>
          <w:bCs/>
        </w:rPr>
        <w:t>w</w:t>
      </w:r>
      <w:r>
        <w:rPr>
          <w:b/>
          <w:bCs/>
        </w:rPr>
        <w:t xml:space="preserve"> ten sposób zabezpieczać swoje domy </w:t>
      </w:r>
      <w:r w:rsidR="005B7D0C">
        <w:rPr>
          <w:b/>
          <w:bCs/>
        </w:rPr>
        <w:t>oraz</w:t>
      </w:r>
      <w:r>
        <w:rPr>
          <w:b/>
          <w:bCs/>
        </w:rPr>
        <w:t xml:space="preserve"> mieszkania. Potwierdzają to wyniki badania przeprowadzonego </w:t>
      </w:r>
      <w:r w:rsidR="00307D31">
        <w:rPr>
          <w:b/>
          <w:bCs/>
        </w:rPr>
        <w:t xml:space="preserve">na zlecenie </w:t>
      </w:r>
      <w:r>
        <w:rPr>
          <w:b/>
          <w:bCs/>
        </w:rPr>
        <w:t>firm</w:t>
      </w:r>
      <w:r w:rsidR="00307D31">
        <w:rPr>
          <w:b/>
          <w:bCs/>
        </w:rPr>
        <w:t xml:space="preserve">y </w:t>
      </w:r>
      <w:r>
        <w:rPr>
          <w:b/>
          <w:bCs/>
        </w:rPr>
        <w:t>Wiener</w:t>
      </w:r>
      <w:r w:rsidR="005B7D0C">
        <w:rPr>
          <w:b/>
          <w:bCs/>
        </w:rPr>
        <w:t xml:space="preserve">. </w:t>
      </w:r>
      <w:r w:rsidR="00307D31">
        <w:rPr>
          <w:b/>
          <w:bCs/>
        </w:rPr>
        <w:t xml:space="preserve">Większość </w:t>
      </w:r>
      <w:r w:rsidR="00A77D6C">
        <w:rPr>
          <w:b/>
          <w:bCs/>
        </w:rPr>
        <w:t>ankietowanych</w:t>
      </w:r>
      <w:r w:rsidR="00A77D6C" w:rsidRPr="00447019">
        <w:rPr>
          <w:b/>
          <w:bCs/>
        </w:rPr>
        <w:t xml:space="preserve"> </w:t>
      </w:r>
      <w:r w:rsidRPr="00447019">
        <w:rPr>
          <w:b/>
          <w:bCs/>
        </w:rPr>
        <w:t>– 84% posiada nieruchomość objętą ubezpieczeniem.</w:t>
      </w:r>
      <w:r>
        <w:rPr>
          <w:b/>
          <w:bCs/>
        </w:rPr>
        <w:t xml:space="preserve"> Na rozszerzony wariant ochrony zdecydował się</w:t>
      </w:r>
      <w:r w:rsidRPr="00447019">
        <w:rPr>
          <w:b/>
          <w:bCs/>
        </w:rPr>
        <w:t xml:space="preserve"> co czwarty ubezpieczony (24%), </w:t>
      </w:r>
      <w:r w:rsidR="00153C45">
        <w:rPr>
          <w:b/>
          <w:bCs/>
        </w:rPr>
        <w:t xml:space="preserve">najczęściej </w:t>
      </w:r>
      <w:r w:rsidR="00307D31">
        <w:rPr>
          <w:b/>
          <w:bCs/>
        </w:rPr>
        <w:t xml:space="preserve">wybierając ochronę </w:t>
      </w:r>
      <w:r w:rsidR="00307D31" w:rsidRPr="00447019">
        <w:rPr>
          <w:b/>
          <w:bCs/>
        </w:rPr>
        <w:t>ruchomości domow</w:t>
      </w:r>
      <w:r w:rsidR="00307D31">
        <w:rPr>
          <w:b/>
          <w:bCs/>
        </w:rPr>
        <w:t>ych</w:t>
      </w:r>
      <w:r w:rsidR="00307D31" w:rsidRPr="00447019">
        <w:rPr>
          <w:b/>
          <w:bCs/>
        </w:rPr>
        <w:t xml:space="preserve"> (52%)</w:t>
      </w:r>
      <w:r w:rsidRPr="00447019">
        <w:rPr>
          <w:b/>
          <w:bCs/>
        </w:rPr>
        <w:t xml:space="preserve"> ubezpieczenie następstw nieszczęśliwych wypadków (52%)</w:t>
      </w:r>
      <w:r w:rsidR="00307D31">
        <w:rPr>
          <w:b/>
          <w:bCs/>
        </w:rPr>
        <w:t xml:space="preserve"> </w:t>
      </w:r>
      <w:r w:rsidRPr="00447019">
        <w:rPr>
          <w:b/>
          <w:bCs/>
        </w:rPr>
        <w:t>oraz OC w życiu prywatnym (48%).</w:t>
      </w:r>
    </w:p>
    <w:p w14:paraId="2AEDB2F4" w14:textId="68A80C30" w:rsidR="005B7D0C" w:rsidRDefault="00825193" w:rsidP="00825193">
      <w:r>
        <w:t xml:space="preserve">Dom czy mieszkanie to nie tylko ostoja bezpieczeństwa i własny „kawałek nieba”, ale również majątek, na który pracujemy </w:t>
      </w:r>
      <w:r w:rsidR="00307D31">
        <w:t xml:space="preserve">często </w:t>
      </w:r>
      <w:r>
        <w:t xml:space="preserve">przez znaczną część życia. W ostatnich miesiącach zmieniły się nasze potrzeby i wymagania. Dom stał się centrum życia – nie tylko prywatnego czy rodzinnego, ale również zawodowego pełniąc funkcję biura czy szkoły. </w:t>
      </w:r>
      <w:r w:rsidR="00BC5A2F">
        <w:t xml:space="preserve">Dlatego tak ważna jest świadomość, że </w:t>
      </w:r>
      <w:r w:rsidR="00BC24F7">
        <w:t xml:space="preserve">zakup </w:t>
      </w:r>
      <w:r w:rsidR="00BC5A2F">
        <w:t>ubezpieczenia</w:t>
      </w:r>
      <w:r w:rsidR="00BC5A2F" w:rsidRPr="00BC5A2F">
        <w:t xml:space="preserve"> to stosunkowo niewielki koszt, który może zapewnić spokój w razie nieprzewidzianej sytuacji</w:t>
      </w:r>
      <w:r w:rsidR="00BC24F7">
        <w:t>,</w:t>
      </w:r>
      <w:r w:rsidR="0082144F">
        <w:t xml:space="preserve"> a kompleksowa ochrona pozwoli uporać się ze skutkami różnych </w:t>
      </w:r>
      <w:r w:rsidR="00026E8D">
        <w:t>problemów</w:t>
      </w:r>
      <w:r w:rsidR="0082144F">
        <w:t xml:space="preserve"> w naszym domowym centrum życia. Bez względu na to</w:t>
      </w:r>
      <w:r w:rsidR="003275E6">
        <w:t>,</w:t>
      </w:r>
      <w:r w:rsidR="0082144F">
        <w:t xml:space="preserve"> czy chodzi o ubezpieczenie mienia, zdrowia, w zakresie OC, czy też potrzebne jest wsparcie związane z assistance albo pomocą prawn</w:t>
      </w:r>
      <w:r w:rsidR="00026E8D">
        <w:t>ą</w:t>
      </w:r>
      <w:r w:rsidR="0082144F">
        <w:t>.</w:t>
      </w:r>
    </w:p>
    <w:p w14:paraId="7BF71693" w14:textId="77777777" w:rsidR="00825193" w:rsidRDefault="00825193" w:rsidP="00825193">
      <w:r w:rsidRPr="009D5A10">
        <w:t>–</w:t>
      </w:r>
      <w:r w:rsidR="00307D31">
        <w:rPr>
          <w:i/>
          <w:iCs/>
        </w:rPr>
        <w:t xml:space="preserve"> C</w:t>
      </w:r>
      <w:r w:rsidRPr="009D5A10">
        <w:rPr>
          <w:i/>
          <w:iCs/>
        </w:rPr>
        <w:t xml:space="preserve">ieszy nas </w:t>
      </w:r>
      <w:r w:rsidR="00395336">
        <w:rPr>
          <w:i/>
          <w:iCs/>
        </w:rPr>
        <w:t xml:space="preserve">otwartość Polaków na </w:t>
      </w:r>
      <w:r w:rsidRPr="009D5A10">
        <w:rPr>
          <w:i/>
          <w:iCs/>
        </w:rPr>
        <w:t>ubezpieczeni</w:t>
      </w:r>
      <w:r w:rsidR="00395336">
        <w:rPr>
          <w:i/>
          <w:iCs/>
        </w:rPr>
        <w:t>a i chęć zadbani</w:t>
      </w:r>
      <w:r w:rsidR="00BC24F7">
        <w:rPr>
          <w:i/>
          <w:iCs/>
        </w:rPr>
        <w:t>a</w:t>
      </w:r>
      <w:r w:rsidR="00395336">
        <w:rPr>
          <w:i/>
          <w:iCs/>
        </w:rPr>
        <w:t xml:space="preserve"> o bezpieczeństwo finansowe</w:t>
      </w:r>
      <w:r w:rsidR="00BC5A2F">
        <w:rPr>
          <w:i/>
          <w:iCs/>
        </w:rPr>
        <w:t xml:space="preserve"> </w:t>
      </w:r>
      <w:r w:rsidRPr="009D5A10">
        <w:t xml:space="preserve">– </w:t>
      </w:r>
      <w:r w:rsidRPr="00196784">
        <w:t xml:space="preserve">mówi </w:t>
      </w:r>
      <w:r w:rsidR="00307D31">
        <w:t>Agnieszka Włodarska-Poloczek</w:t>
      </w:r>
      <w:r w:rsidRPr="00196784">
        <w:t>, ekspert firmy Wiener.</w:t>
      </w:r>
      <w:r w:rsidRPr="009D5A10">
        <w:t xml:space="preserve"> – </w:t>
      </w:r>
      <w:r w:rsidR="00307D31">
        <w:rPr>
          <w:i/>
          <w:iCs/>
        </w:rPr>
        <w:t>Odpowiednie ubezpieczenie</w:t>
      </w:r>
      <w:r w:rsidRPr="009D5A10">
        <w:rPr>
          <w:i/>
          <w:iCs/>
        </w:rPr>
        <w:t xml:space="preserve"> zapewnia całoroczną ochronę przed </w:t>
      </w:r>
      <w:r w:rsidR="00BC5A2F">
        <w:rPr>
          <w:i/>
          <w:iCs/>
        </w:rPr>
        <w:t>konsekwencjami finansowymi</w:t>
      </w:r>
      <w:r w:rsidRPr="009D5A10">
        <w:rPr>
          <w:i/>
          <w:iCs/>
        </w:rPr>
        <w:t xml:space="preserve">, które mogą narazić naszych klientów na straty. </w:t>
      </w:r>
      <w:r w:rsidR="00BC5A2F">
        <w:rPr>
          <w:i/>
          <w:iCs/>
        </w:rPr>
        <w:t>Uszkodzenie</w:t>
      </w:r>
      <w:r w:rsidR="00BC5A2F" w:rsidRPr="009D5A10">
        <w:rPr>
          <w:i/>
          <w:iCs/>
        </w:rPr>
        <w:t xml:space="preserve"> </w:t>
      </w:r>
      <w:r w:rsidRPr="009D5A10">
        <w:rPr>
          <w:i/>
          <w:iCs/>
        </w:rPr>
        <w:t>domu lub mieszkania to nie tylko niezwykle stresująca sytuacja, ale przede wszystkim problem, który może zmusić nas do poniesienia ogromnych wydatków. Warto się przed tym zabezpieczyć</w:t>
      </w:r>
      <w:r>
        <w:t xml:space="preserve">. </w:t>
      </w:r>
      <w:r>
        <w:rPr>
          <w:i/>
          <w:iCs/>
        </w:rPr>
        <w:t xml:space="preserve">Polisa </w:t>
      </w:r>
      <w:r w:rsidR="0006622B">
        <w:rPr>
          <w:i/>
          <w:iCs/>
        </w:rPr>
        <w:t xml:space="preserve">może </w:t>
      </w:r>
      <w:r w:rsidRPr="009D5A10">
        <w:rPr>
          <w:i/>
          <w:iCs/>
        </w:rPr>
        <w:t>mieć bardzo szeroki zakres obejmując ochroną również ruchomości domowe (np. meble czy sprzęt</w:t>
      </w:r>
      <w:r w:rsidR="00BC24F7">
        <w:rPr>
          <w:i/>
          <w:iCs/>
        </w:rPr>
        <w:t xml:space="preserve"> AGD</w:t>
      </w:r>
      <w:r w:rsidRPr="009D5A10">
        <w:rPr>
          <w:i/>
          <w:iCs/>
        </w:rPr>
        <w:t>), szyby, OC w życiu prywatnym, assistance domowe, NNW czy koszt</w:t>
      </w:r>
      <w:r>
        <w:rPr>
          <w:i/>
          <w:iCs/>
        </w:rPr>
        <w:t>y</w:t>
      </w:r>
      <w:r w:rsidRPr="009D5A10">
        <w:rPr>
          <w:i/>
          <w:iCs/>
        </w:rPr>
        <w:t xml:space="preserve"> ochrony prawnej</w:t>
      </w:r>
      <w:r>
        <w:rPr>
          <w:i/>
          <w:iCs/>
        </w:rPr>
        <w:t xml:space="preserve"> i wiele innych</w:t>
      </w:r>
      <w:r w:rsidRPr="009D5A10">
        <w:rPr>
          <w:i/>
          <w:iCs/>
        </w:rPr>
        <w:t>.</w:t>
      </w:r>
      <w:r w:rsidRPr="009D5A10">
        <w:t xml:space="preserve"> </w:t>
      </w:r>
      <w:r w:rsidRPr="009D5A10">
        <w:rPr>
          <w:i/>
          <w:iCs/>
        </w:rPr>
        <w:t>Naszym celem było stworzenie oferty</w:t>
      </w:r>
      <w:r w:rsidR="00BC5A2F">
        <w:rPr>
          <w:i/>
          <w:iCs/>
        </w:rPr>
        <w:t xml:space="preserve">, </w:t>
      </w:r>
      <w:r w:rsidRPr="009D5A10">
        <w:rPr>
          <w:i/>
          <w:iCs/>
        </w:rPr>
        <w:t>która pozwoli naszym klientom spokojnie spojrzeć w przyszłość.</w:t>
      </w:r>
      <w:r>
        <w:t xml:space="preserve"> </w:t>
      </w:r>
    </w:p>
    <w:p w14:paraId="512A00BC" w14:textId="77777777" w:rsidR="00825193" w:rsidRPr="007F0F07" w:rsidRDefault="00825193" w:rsidP="00825193">
      <w:pPr>
        <w:rPr>
          <w:b/>
          <w:bCs/>
        </w:rPr>
      </w:pPr>
      <w:r>
        <w:rPr>
          <w:b/>
          <w:bCs/>
        </w:rPr>
        <w:t xml:space="preserve">Dlaczego Polacy </w:t>
      </w:r>
      <w:r w:rsidR="00395336">
        <w:rPr>
          <w:b/>
          <w:bCs/>
        </w:rPr>
        <w:t>rozszerzają</w:t>
      </w:r>
      <w:r>
        <w:rPr>
          <w:b/>
          <w:bCs/>
        </w:rPr>
        <w:t xml:space="preserve"> zakres ubezpiecze</w:t>
      </w:r>
      <w:r w:rsidR="00395336">
        <w:rPr>
          <w:b/>
          <w:bCs/>
        </w:rPr>
        <w:t>nia</w:t>
      </w:r>
    </w:p>
    <w:p w14:paraId="536B0589" w14:textId="11F418AD" w:rsidR="00825193" w:rsidRPr="007F0F07" w:rsidRDefault="00F912D8" w:rsidP="00825193">
      <w:r>
        <w:t>Mimo</w:t>
      </w:r>
      <w:r w:rsidR="003275E6">
        <w:t>,</w:t>
      </w:r>
      <w:r>
        <w:t xml:space="preserve"> że duży odsetek </w:t>
      </w:r>
      <w:r w:rsidR="00825193">
        <w:t>ankietowanych</w:t>
      </w:r>
      <w:r w:rsidR="00825193" w:rsidRPr="00DF53B8">
        <w:t xml:space="preserve"> </w:t>
      </w:r>
      <w:r w:rsidR="00825193" w:rsidRPr="00CD5651">
        <w:t xml:space="preserve">(43%) posiada podstawową wersję </w:t>
      </w:r>
      <w:r>
        <w:t>ubezpieczenia wymaganą przez bank</w:t>
      </w:r>
      <w:r w:rsidR="00BC24F7">
        <w:t>,</w:t>
      </w:r>
      <w:r w:rsidR="00395336">
        <w:t xml:space="preserve"> </w:t>
      </w:r>
      <w:r w:rsidR="00BC24F7">
        <w:t>t</w:t>
      </w:r>
      <w:r>
        <w:t xml:space="preserve">o </w:t>
      </w:r>
      <w:r w:rsidR="00825193" w:rsidRPr="00DF53B8">
        <w:t xml:space="preserve">duża </w:t>
      </w:r>
      <w:r w:rsidR="00825193">
        <w:t>grupa osób</w:t>
      </w:r>
      <w:r>
        <w:t xml:space="preserve"> poszukuje </w:t>
      </w:r>
      <w:r w:rsidR="00BC24F7">
        <w:t xml:space="preserve">bardziej </w:t>
      </w:r>
      <w:r>
        <w:t>kompleksowej ochrony</w:t>
      </w:r>
      <w:r w:rsidR="00825193">
        <w:t xml:space="preserve">. </w:t>
      </w:r>
      <w:r w:rsidR="00825193" w:rsidRPr="007F0F07">
        <w:t xml:space="preserve">Do najczęściej wskazywanych powodów rozszerzenia zakresu ubezpieczenia należą: chęć zadbania o większe poczucie bezpieczeństwa (45%), obawa przed sytuacjami, które mogą się zdarzyć, a </w:t>
      </w:r>
      <w:r w:rsidR="00BC24F7">
        <w:t xml:space="preserve">podstawowe </w:t>
      </w:r>
      <w:r w:rsidR="00825193" w:rsidRPr="007F0F07">
        <w:t>ubezpieczenie ich nie pokrywało (34%) oraz zachęta agenta ubezpieczeniowego (30%).</w:t>
      </w:r>
      <w:r w:rsidR="00395336">
        <w:t xml:space="preserve"> Co ciekawe tylko</w:t>
      </w:r>
      <w:r w:rsidR="00825193">
        <w:t xml:space="preserve"> </w:t>
      </w:r>
      <w:r w:rsidR="00825193" w:rsidRPr="00CD5651">
        <w:t xml:space="preserve">13% </w:t>
      </w:r>
      <w:r w:rsidR="00825193">
        <w:t xml:space="preserve">ankietowanych od początku posiadania ubezpieczenia nieruchomości </w:t>
      </w:r>
      <w:r w:rsidR="00825193" w:rsidRPr="00CD5651">
        <w:t xml:space="preserve">czas </w:t>
      </w:r>
      <w:r w:rsidR="00825193">
        <w:t>decyduje się na opcję rozszerzoną</w:t>
      </w:r>
      <w:r w:rsidR="00825193" w:rsidRPr="00CD5651">
        <w:t>.</w:t>
      </w:r>
    </w:p>
    <w:p w14:paraId="4BC03F6C" w14:textId="77777777" w:rsidR="00F912D8" w:rsidRDefault="00F912D8" w:rsidP="00F912D8">
      <w:r>
        <w:t>Aż 54% badanych uważa, że kompleksowe pakiety ubezpieczeń pozwalają na łatwiejsze zarządzanie ubezpieczeniami (35% nie ma opinii w tej kwestii, a 10% jest przeciwnego zdania). Blisko połowa respondentów myśli, że pakietowe ubezpieczenia są tańsze o</w:t>
      </w:r>
      <w:r w:rsidR="001407F2">
        <w:t>d tych zawieranych pojedynczo.</w:t>
      </w:r>
    </w:p>
    <w:p w14:paraId="294DE63B" w14:textId="77777777" w:rsidR="00825193" w:rsidRPr="00746452" w:rsidRDefault="00825193" w:rsidP="00825193">
      <w:pPr>
        <w:tabs>
          <w:tab w:val="left" w:pos="720"/>
        </w:tabs>
        <w:rPr>
          <w:b/>
          <w:bCs/>
        </w:rPr>
      </w:pPr>
      <w:r w:rsidRPr="00746452">
        <w:rPr>
          <w:b/>
          <w:bCs/>
        </w:rPr>
        <w:t xml:space="preserve">Najczęstsze szkody i uszkodzenia </w:t>
      </w:r>
    </w:p>
    <w:p w14:paraId="2C8630AA" w14:textId="77777777" w:rsidR="005B7D0C" w:rsidRDefault="00A77D6C" w:rsidP="00825193">
      <w:pPr>
        <w:tabs>
          <w:tab w:val="left" w:pos="720"/>
        </w:tabs>
      </w:pPr>
      <w:r>
        <w:t>Jak wynika z badania, do najczęściej występujących zdarzeń objętych ubezpieczeniem, których doświadczali ankietowan</w:t>
      </w:r>
      <w:r w:rsidR="0006622B">
        <w:t>i</w:t>
      </w:r>
      <w:r>
        <w:t xml:space="preserve"> należą: uszkodzenie elementów nieruchomości, uszkodzenie budynków znajdujących się na posesji albo przypisanych do nieruchomości (np. garaż albo piwnica), a także uszkodzenie szyb </w:t>
      </w:r>
      <w:r w:rsidR="0006622B">
        <w:t>i</w:t>
      </w:r>
      <w:r>
        <w:t xml:space="preserve"> okie</w:t>
      </w:r>
      <w:r w:rsidR="0006622B">
        <w:t>n</w:t>
      </w:r>
      <w:r>
        <w:t>. Każda z wymienionych szkód mogła spowodować znaczne straty finansowe dla osób nieubezpieczonych, dlatego tak ważn</w:t>
      </w:r>
      <w:r w:rsidR="0006622B">
        <w:t>e</w:t>
      </w:r>
      <w:r>
        <w:t xml:space="preserve"> jest w tym przypadku dobrze przeprowadzony proces likwidacji szkód, dzięki temu możemy poradzić sobie ze skutkami zniszczeń. </w:t>
      </w:r>
    </w:p>
    <w:p w14:paraId="3305AB52" w14:textId="77777777" w:rsidR="00F912D8" w:rsidRDefault="00F912D8" w:rsidP="00825193">
      <w:pPr>
        <w:tabs>
          <w:tab w:val="left" w:pos="72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B7D0C" w14:paraId="55B6878F" w14:textId="77777777" w:rsidTr="005B7D0C">
        <w:tc>
          <w:tcPr>
            <w:tcW w:w="9854" w:type="dxa"/>
          </w:tcPr>
          <w:p w14:paraId="7B8A4027" w14:textId="77777777" w:rsidR="005B7D0C" w:rsidRPr="005B7D0C" w:rsidRDefault="005B7D0C" w:rsidP="005B7D0C">
            <w:pPr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Najważniejsze wnioski z badania:</w:t>
            </w:r>
          </w:p>
          <w:p w14:paraId="01CC106F" w14:textId="77777777" w:rsidR="005B7D0C" w:rsidRPr="000C701D" w:rsidRDefault="001407F2" w:rsidP="005B7D0C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left"/>
              <w:rPr>
                <w:rFonts w:cs="Segoe UI"/>
              </w:rPr>
            </w:pPr>
            <w:r>
              <w:rPr>
                <w:rFonts w:cs="Segoe UI"/>
              </w:rPr>
              <w:t>W</w:t>
            </w:r>
            <w:r w:rsidR="005B7D0C" w:rsidRPr="000C701D">
              <w:rPr>
                <w:rFonts w:cs="Segoe UI"/>
              </w:rPr>
              <w:t>iększość badanych – 84% posiada nieruchomość objętą ubezpieczeniem</w:t>
            </w:r>
            <w:r w:rsidR="005B7D0C">
              <w:rPr>
                <w:rFonts w:cs="Segoe UI"/>
              </w:rPr>
              <w:t>.</w:t>
            </w:r>
          </w:p>
          <w:p w14:paraId="0C9F13F8" w14:textId="77777777" w:rsidR="005B7D0C" w:rsidRPr="000C701D" w:rsidRDefault="005B7D0C" w:rsidP="005B7D0C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left"/>
              <w:rPr>
                <w:rFonts w:cs="Segoe UI"/>
              </w:rPr>
            </w:pPr>
            <w:r w:rsidRPr="000C701D">
              <w:rPr>
                <w:rFonts w:cs="Segoe UI"/>
              </w:rPr>
              <w:t>Posiadanie rozszerzonego ubezpieczenia deklaruje co czwarty ubezpieczony (24%), a jego zakres najczęściej obejmuje: ubezpieczenie od następstw nieszczęśliwych wypadków (52%), ruchomości domowe (52%), oraz OC w życiu prywatnym (48%).</w:t>
            </w:r>
          </w:p>
          <w:p w14:paraId="4DCDD9ED" w14:textId="77777777" w:rsidR="001407F2" w:rsidRPr="001407F2" w:rsidRDefault="001407F2" w:rsidP="005B7D0C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left"/>
              <w:rPr>
                <w:rFonts w:cs="Segoe UI"/>
              </w:rPr>
            </w:pPr>
            <w:r>
              <w:t xml:space="preserve">Aż 54% badanych uważa, że kompleksowe pakiety ubezpieczeń pozwalają na łatwiejsze zarządzanie ubezpieczeniami </w:t>
            </w:r>
          </w:p>
          <w:p w14:paraId="6D2E38D8" w14:textId="77777777" w:rsidR="005B7D0C" w:rsidRPr="00D123BC" w:rsidRDefault="005B7D0C" w:rsidP="005B7D0C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left"/>
              <w:rPr>
                <w:rFonts w:cs="Segoe UI"/>
              </w:rPr>
            </w:pPr>
            <w:r w:rsidRPr="00D123BC">
              <w:rPr>
                <w:rFonts w:cs="Segoe UI"/>
              </w:rPr>
              <w:t>Do najczęściej wskazywanych powodów rozszerzenia zakresu ubezpieczenia należą: chęć zadbania o większe poczucie bezpieczeństwa (45%), obawa przed sytuacjami, które mogą się zdarzyć, a ubezpieczenie ich nie pokrywało (34%).</w:t>
            </w:r>
          </w:p>
          <w:p w14:paraId="2147ACA2" w14:textId="77777777" w:rsidR="005B7D0C" w:rsidRPr="005B7D0C" w:rsidRDefault="005B7D0C" w:rsidP="005B7D0C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left"/>
              <w:rPr>
                <w:rFonts w:cs="Segoe UI"/>
              </w:rPr>
            </w:pPr>
            <w:r w:rsidRPr="00D123BC">
              <w:rPr>
                <w:rFonts w:cs="Segoe UI"/>
              </w:rPr>
              <w:t xml:space="preserve">Prawie co druga osoba (48%) posiadająca ubezpieczoną nieruchomość </w:t>
            </w:r>
            <w:r>
              <w:rPr>
                <w:rFonts w:cs="Segoe UI"/>
              </w:rPr>
              <w:t>szukało</w:t>
            </w:r>
            <w:r w:rsidRPr="00D123BC">
              <w:rPr>
                <w:rFonts w:cs="Segoe UI"/>
              </w:rPr>
              <w:t xml:space="preserve"> informacj</w:t>
            </w:r>
            <w:r>
              <w:rPr>
                <w:rFonts w:cs="Segoe UI"/>
              </w:rPr>
              <w:t>i</w:t>
            </w:r>
            <w:r w:rsidRPr="00D123BC">
              <w:rPr>
                <w:rFonts w:cs="Segoe UI"/>
              </w:rPr>
              <w:t xml:space="preserve"> przed wyborem ubezpieczyciela i zakresu ubezpieczenia u agenta ubezpieczeniowego. Trzech na dziesięciu (31%) korzystało z opinii znajomych lub rodziny, a 27% korzystało z porównywarek ubezpieczeń.</w:t>
            </w:r>
          </w:p>
        </w:tc>
      </w:tr>
    </w:tbl>
    <w:p w14:paraId="567B6871" w14:textId="77777777" w:rsidR="000C701D" w:rsidRPr="005B7D0C" w:rsidRDefault="000C701D" w:rsidP="005B7D0C">
      <w:pPr>
        <w:spacing w:after="200" w:line="276" w:lineRule="auto"/>
        <w:jc w:val="left"/>
        <w:rPr>
          <w:rFonts w:cs="Segoe UI"/>
        </w:rPr>
      </w:pPr>
    </w:p>
    <w:p w14:paraId="57629BAE" w14:textId="77777777" w:rsidR="00825193" w:rsidRPr="005B7D0C" w:rsidRDefault="00825193" w:rsidP="00825193">
      <w:pPr>
        <w:rPr>
          <w:rFonts w:asciiTheme="minorHAnsi" w:hAnsiTheme="minorHAnsi"/>
          <w:i/>
          <w:iCs/>
          <w:sz w:val="18"/>
          <w:szCs w:val="18"/>
        </w:rPr>
      </w:pPr>
      <w:r w:rsidRPr="005B7D0C">
        <w:rPr>
          <w:i/>
          <w:iCs/>
          <w:sz w:val="18"/>
          <w:szCs w:val="18"/>
        </w:rPr>
        <w:t>Badanie zostało zrealizowane w dniach 01.06-06.06.2021 przez agencję SW RESEARCH metodą wywiadów on-line (CAWI) na panelu internetowym SW Panel. W ramach badania przeprowadzono 1220 ankiet z osobami posiadającymi dom lub mieszkanie</w:t>
      </w:r>
      <w:r w:rsidR="005B7D0C" w:rsidRPr="005B7D0C">
        <w:rPr>
          <w:i/>
          <w:iCs/>
          <w:sz w:val="18"/>
          <w:szCs w:val="18"/>
        </w:rPr>
        <w:t>.</w:t>
      </w:r>
    </w:p>
    <w:p w14:paraId="7CFB39E0" w14:textId="77777777" w:rsidR="00915DFF" w:rsidRPr="00CF252D" w:rsidRDefault="00915DFF" w:rsidP="00915DFF">
      <w:pPr>
        <w:spacing w:line="276" w:lineRule="auto"/>
        <w:rPr>
          <w:sz w:val="12"/>
          <w:szCs w:val="20"/>
        </w:rPr>
      </w:pPr>
    </w:p>
    <w:sectPr w:rsidR="00915DFF" w:rsidRPr="00CF252D" w:rsidSect="0025403D">
      <w:headerReference w:type="default" r:id="rId8"/>
      <w:footerReference w:type="default" r:id="rId9"/>
      <w:pgSz w:w="11906" w:h="16838"/>
      <w:pgMar w:top="1418" w:right="1021" w:bottom="1418" w:left="1021" w:header="19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8EBF5" w14:textId="77777777" w:rsidR="00533BE6" w:rsidRDefault="00533BE6" w:rsidP="000E086B">
      <w:pPr>
        <w:spacing w:after="0"/>
      </w:pPr>
      <w:r>
        <w:separator/>
      </w:r>
    </w:p>
  </w:endnote>
  <w:endnote w:type="continuationSeparator" w:id="0">
    <w:p w14:paraId="43A4C60B" w14:textId="77777777" w:rsidR="00533BE6" w:rsidRDefault="00533BE6" w:rsidP="000E08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e UI">
    <w:altName w:val="Arno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D6DED" w14:textId="77777777" w:rsidR="002706B3" w:rsidRDefault="002706B3">
    <w:pPr>
      <w:pStyle w:val="Stopka"/>
    </w:pPr>
    <w:r>
      <w:rPr>
        <w:noProof/>
        <w:lang w:eastAsia="pl-PL"/>
      </w:rPr>
      <w:drawing>
        <wp:inline distT="0" distB="0" distL="0" distR="0" wp14:anchorId="0EB0ECD1" wp14:editId="3479BDF5">
          <wp:extent cx="6263640" cy="36766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wiener_long_full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83425" w14:textId="77777777" w:rsidR="00533BE6" w:rsidRDefault="00533BE6" w:rsidP="000E086B">
      <w:pPr>
        <w:spacing w:after="0"/>
      </w:pPr>
      <w:r>
        <w:separator/>
      </w:r>
    </w:p>
  </w:footnote>
  <w:footnote w:type="continuationSeparator" w:id="0">
    <w:p w14:paraId="491459D8" w14:textId="77777777" w:rsidR="00533BE6" w:rsidRDefault="00533BE6" w:rsidP="000E08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2872" w14:textId="77777777" w:rsidR="002706B3" w:rsidRDefault="002706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5DD3C8" wp14:editId="5F92681C">
          <wp:simplePos x="0" y="0"/>
          <wp:positionH relativeFrom="column">
            <wp:posOffset>-648335</wp:posOffset>
          </wp:positionH>
          <wp:positionV relativeFrom="paragraph">
            <wp:posOffset>-1259840</wp:posOffset>
          </wp:positionV>
          <wp:extent cx="7560000" cy="128912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8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8E3"/>
    <w:multiLevelType w:val="hybridMultilevel"/>
    <w:tmpl w:val="4044DAE0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B1A0E1B"/>
    <w:multiLevelType w:val="hybridMultilevel"/>
    <w:tmpl w:val="C458E3D6"/>
    <w:lvl w:ilvl="0" w:tplc="62AE1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4953C54"/>
    <w:multiLevelType w:val="hybridMultilevel"/>
    <w:tmpl w:val="2BF6FDE6"/>
    <w:lvl w:ilvl="0" w:tplc="65B0A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4BF4"/>
    <w:multiLevelType w:val="hybridMultilevel"/>
    <w:tmpl w:val="313C4D80"/>
    <w:lvl w:ilvl="0" w:tplc="936C3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6D62CA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FF6800" w:themeColor="accent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020A3"/>
    <w:multiLevelType w:val="multilevel"/>
    <w:tmpl w:val="F02A34A0"/>
    <w:lvl w:ilvl="0">
      <w:start w:val="1"/>
      <w:numFmt w:val="decimal"/>
      <w:pStyle w:val="Numerowanie1Wien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erowanie2Wien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erowanie3Wiener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pStyle w:val="Numerowanie4Wiener"/>
      <w:lvlText w:val="%1.%2.%3.%4."/>
      <w:lvlJc w:val="left"/>
      <w:pPr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0B19EF"/>
    <w:multiLevelType w:val="hybridMultilevel"/>
    <w:tmpl w:val="4D621B7C"/>
    <w:lvl w:ilvl="0" w:tplc="B7AC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41B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687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EC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29C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8EE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8FA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16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639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63368"/>
    <w:multiLevelType w:val="hybridMultilevel"/>
    <w:tmpl w:val="D36A1516"/>
    <w:lvl w:ilvl="0" w:tplc="65B0A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060F"/>
    <w:multiLevelType w:val="multilevel"/>
    <w:tmpl w:val="A5485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FA7279"/>
    <w:multiLevelType w:val="hybridMultilevel"/>
    <w:tmpl w:val="A0CE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7514B"/>
    <w:multiLevelType w:val="hybridMultilevel"/>
    <w:tmpl w:val="054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26729"/>
    <w:multiLevelType w:val="hybridMultilevel"/>
    <w:tmpl w:val="9530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66385"/>
    <w:multiLevelType w:val="hybridMultilevel"/>
    <w:tmpl w:val="3EC0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85F87"/>
    <w:multiLevelType w:val="multilevel"/>
    <w:tmpl w:val="A9ACD83A"/>
    <w:lvl w:ilvl="0">
      <w:start w:val="1"/>
      <w:numFmt w:val="bullet"/>
      <w:pStyle w:val="Akapitzlist"/>
      <w:lvlText w:val=""/>
      <w:lvlJc w:val="left"/>
      <w:pPr>
        <w:ind w:left="851" w:hanging="397"/>
      </w:pPr>
      <w:rPr>
        <w:rFonts w:ascii="Symbol" w:hAnsi="Symbol" w:hint="default"/>
        <w:color w:val="FF6800" w:themeColor="accent2"/>
      </w:rPr>
    </w:lvl>
    <w:lvl w:ilvl="1">
      <w:start w:val="1"/>
      <w:numFmt w:val="bullet"/>
      <w:pStyle w:val="Punktor2Wiener"/>
      <w:lvlText w:val="o"/>
      <w:lvlJc w:val="left"/>
      <w:pPr>
        <w:ind w:left="1247" w:hanging="396"/>
      </w:pPr>
      <w:rPr>
        <w:rFonts w:ascii="Courier New" w:hAnsi="Courier New" w:hint="default"/>
        <w:color w:val="FF6800" w:themeColor="accent2"/>
      </w:rPr>
    </w:lvl>
    <w:lvl w:ilvl="2">
      <w:start w:val="1"/>
      <w:numFmt w:val="bullet"/>
      <w:pStyle w:val="Punktor3Wiener"/>
      <w:lvlText w:val=""/>
      <w:lvlJc w:val="left"/>
      <w:pPr>
        <w:ind w:left="1588" w:hanging="397"/>
      </w:pPr>
      <w:rPr>
        <w:rFonts w:ascii="Wingdings" w:hAnsi="Wingdings" w:hint="default"/>
        <w:color w:val="FCB316" w:themeColor="accent1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82DB0"/>
    <w:multiLevelType w:val="hybridMultilevel"/>
    <w:tmpl w:val="F00A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1246E"/>
    <w:multiLevelType w:val="hybridMultilevel"/>
    <w:tmpl w:val="80BE802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4E0526B"/>
    <w:multiLevelType w:val="hybridMultilevel"/>
    <w:tmpl w:val="3362BB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0BBF"/>
    <w:multiLevelType w:val="hybridMultilevel"/>
    <w:tmpl w:val="82441058"/>
    <w:lvl w:ilvl="0" w:tplc="65B0A712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69971993"/>
    <w:multiLevelType w:val="hybridMultilevel"/>
    <w:tmpl w:val="B06A5EEC"/>
    <w:lvl w:ilvl="0" w:tplc="6D62CA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6A0A57C8"/>
    <w:multiLevelType w:val="hybridMultilevel"/>
    <w:tmpl w:val="BCBC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27ADD"/>
    <w:multiLevelType w:val="hybridMultilevel"/>
    <w:tmpl w:val="87A40DD8"/>
    <w:lvl w:ilvl="0" w:tplc="6EEE36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8C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0C8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CD0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674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A27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A5A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4FB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C1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29EC"/>
    <w:multiLevelType w:val="multilevel"/>
    <w:tmpl w:val="DBC00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C75C56"/>
    <w:multiLevelType w:val="hybridMultilevel"/>
    <w:tmpl w:val="ECCCF3C8"/>
    <w:lvl w:ilvl="0" w:tplc="936C3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E53A39"/>
    <w:multiLevelType w:val="hybridMultilevel"/>
    <w:tmpl w:val="A734EDE6"/>
    <w:lvl w:ilvl="0" w:tplc="65B0A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0"/>
  </w:num>
  <w:num w:numId="5">
    <w:abstractNumId w:val="20"/>
  </w:num>
  <w:num w:numId="6">
    <w:abstractNumId w:val="3"/>
  </w:num>
  <w:num w:numId="7">
    <w:abstractNumId w:val="17"/>
  </w:num>
  <w:num w:numId="8">
    <w:abstractNumId w:val="1"/>
  </w:num>
  <w:num w:numId="9">
    <w:abstractNumId w:val="13"/>
  </w:num>
  <w:num w:numId="10">
    <w:abstractNumId w:val="22"/>
  </w:num>
  <w:num w:numId="11">
    <w:abstractNumId w:val="6"/>
  </w:num>
  <w:num w:numId="12">
    <w:abstractNumId w:val="2"/>
  </w:num>
  <w:num w:numId="13">
    <w:abstractNumId w:val="16"/>
  </w:num>
  <w:num w:numId="14">
    <w:abstractNumId w:val="12"/>
  </w:num>
  <w:num w:numId="15">
    <w:abstractNumId w:val="7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15"/>
  </w:num>
  <w:num w:numId="21">
    <w:abstractNumId w:val="14"/>
  </w:num>
  <w:num w:numId="22">
    <w:abstractNumId w:val="9"/>
  </w:num>
  <w:num w:numId="23">
    <w:abstractNumId w:val="5"/>
  </w:num>
  <w:num w:numId="24">
    <w:abstractNumId w:val="19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6C"/>
    <w:rsid w:val="00026E8D"/>
    <w:rsid w:val="000446BE"/>
    <w:rsid w:val="0006622B"/>
    <w:rsid w:val="000823BD"/>
    <w:rsid w:val="00086F84"/>
    <w:rsid w:val="00087316"/>
    <w:rsid w:val="00087632"/>
    <w:rsid w:val="000A01CC"/>
    <w:rsid w:val="000B115C"/>
    <w:rsid w:val="000B2CEB"/>
    <w:rsid w:val="000B6017"/>
    <w:rsid w:val="000C701D"/>
    <w:rsid w:val="000D602F"/>
    <w:rsid w:val="000E086B"/>
    <w:rsid w:val="000F23A0"/>
    <w:rsid w:val="00120E42"/>
    <w:rsid w:val="00122E50"/>
    <w:rsid w:val="001407F2"/>
    <w:rsid w:val="00153C45"/>
    <w:rsid w:val="00163C55"/>
    <w:rsid w:val="001A0434"/>
    <w:rsid w:val="001A30C6"/>
    <w:rsid w:val="001D5CE6"/>
    <w:rsid w:val="001E31E4"/>
    <w:rsid w:val="0020356A"/>
    <w:rsid w:val="002238D3"/>
    <w:rsid w:val="00243CAC"/>
    <w:rsid w:val="0025403D"/>
    <w:rsid w:val="00261E76"/>
    <w:rsid w:val="002706B3"/>
    <w:rsid w:val="002B473A"/>
    <w:rsid w:val="002E622A"/>
    <w:rsid w:val="002F7B8E"/>
    <w:rsid w:val="0030417B"/>
    <w:rsid w:val="00307D31"/>
    <w:rsid w:val="003214EF"/>
    <w:rsid w:val="00326150"/>
    <w:rsid w:val="003275E6"/>
    <w:rsid w:val="003473D7"/>
    <w:rsid w:val="00374D88"/>
    <w:rsid w:val="00395336"/>
    <w:rsid w:val="003C1BFD"/>
    <w:rsid w:val="003D27F3"/>
    <w:rsid w:val="003D4856"/>
    <w:rsid w:val="003E4D3C"/>
    <w:rsid w:val="003F3CAE"/>
    <w:rsid w:val="004114FC"/>
    <w:rsid w:val="004354F7"/>
    <w:rsid w:val="00440AC2"/>
    <w:rsid w:val="00454CA6"/>
    <w:rsid w:val="004826B4"/>
    <w:rsid w:val="0049725A"/>
    <w:rsid w:val="004C2ED0"/>
    <w:rsid w:val="004C45ED"/>
    <w:rsid w:val="004F3DEF"/>
    <w:rsid w:val="00513D59"/>
    <w:rsid w:val="00527EC8"/>
    <w:rsid w:val="00533BE6"/>
    <w:rsid w:val="00551D73"/>
    <w:rsid w:val="005542F7"/>
    <w:rsid w:val="005B7D0C"/>
    <w:rsid w:val="005E584E"/>
    <w:rsid w:val="006130CC"/>
    <w:rsid w:val="00615672"/>
    <w:rsid w:val="00626D24"/>
    <w:rsid w:val="006409C3"/>
    <w:rsid w:val="00641D83"/>
    <w:rsid w:val="00651145"/>
    <w:rsid w:val="00673D33"/>
    <w:rsid w:val="00674CA4"/>
    <w:rsid w:val="006B142D"/>
    <w:rsid w:val="006B1E1D"/>
    <w:rsid w:val="006B2C6F"/>
    <w:rsid w:val="006B4D4C"/>
    <w:rsid w:val="006D5188"/>
    <w:rsid w:val="006E29DF"/>
    <w:rsid w:val="006E3363"/>
    <w:rsid w:val="00701C31"/>
    <w:rsid w:val="0073077B"/>
    <w:rsid w:val="00731B77"/>
    <w:rsid w:val="007416A2"/>
    <w:rsid w:val="007755B6"/>
    <w:rsid w:val="007864A9"/>
    <w:rsid w:val="007D42AD"/>
    <w:rsid w:val="007E7773"/>
    <w:rsid w:val="007F3673"/>
    <w:rsid w:val="0082144F"/>
    <w:rsid w:val="008243C1"/>
    <w:rsid w:val="00825193"/>
    <w:rsid w:val="00825899"/>
    <w:rsid w:val="0084486C"/>
    <w:rsid w:val="00861C6E"/>
    <w:rsid w:val="0086496C"/>
    <w:rsid w:val="00867055"/>
    <w:rsid w:val="00873F51"/>
    <w:rsid w:val="00875DF6"/>
    <w:rsid w:val="00881BC9"/>
    <w:rsid w:val="00881F00"/>
    <w:rsid w:val="008866F6"/>
    <w:rsid w:val="008928B7"/>
    <w:rsid w:val="00897CBE"/>
    <w:rsid w:val="008B4A64"/>
    <w:rsid w:val="008C7CDF"/>
    <w:rsid w:val="008D56E3"/>
    <w:rsid w:val="00915DFF"/>
    <w:rsid w:val="00922345"/>
    <w:rsid w:val="009244B9"/>
    <w:rsid w:val="0092457B"/>
    <w:rsid w:val="00936967"/>
    <w:rsid w:val="00936D25"/>
    <w:rsid w:val="00952AD0"/>
    <w:rsid w:val="0095346C"/>
    <w:rsid w:val="00957CBB"/>
    <w:rsid w:val="00960896"/>
    <w:rsid w:val="00990EC4"/>
    <w:rsid w:val="009978B4"/>
    <w:rsid w:val="009A2CF1"/>
    <w:rsid w:val="009B416A"/>
    <w:rsid w:val="009B4FA6"/>
    <w:rsid w:val="009B7D8A"/>
    <w:rsid w:val="009C1B3A"/>
    <w:rsid w:val="009F0163"/>
    <w:rsid w:val="009F464E"/>
    <w:rsid w:val="00A0257A"/>
    <w:rsid w:val="00A32865"/>
    <w:rsid w:val="00A5275D"/>
    <w:rsid w:val="00A77D6C"/>
    <w:rsid w:val="00A9040C"/>
    <w:rsid w:val="00A91B2E"/>
    <w:rsid w:val="00B11935"/>
    <w:rsid w:val="00B22748"/>
    <w:rsid w:val="00B35CB0"/>
    <w:rsid w:val="00B67F9D"/>
    <w:rsid w:val="00B731CA"/>
    <w:rsid w:val="00B83859"/>
    <w:rsid w:val="00BA3C34"/>
    <w:rsid w:val="00BA63E4"/>
    <w:rsid w:val="00BB0B24"/>
    <w:rsid w:val="00BC24F7"/>
    <w:rsid w:val="00BC5A2F"/>
    <w:rsid w:val="00BF2B0B"/>
    <w:rsid w:val="00C12B60"/>
    <w:rsid w:val="00C228CE"/>
    <w:rsid w:val="00C30B5B"/>
    <w:rsid w:val="00C3293B"/>
    <w:rsid w:val="00C505BE"/>
    <w:rsid w:val="00C5528B"/>
    <w:rsid w:val="00C56A10"/>
    <w:rsid w:val="00C60E61"/>
    <w:rsid w:val="00C953CD"/>
    <w:rsid w:val="00C95A3A"/>
    <w:rsid w:val="00C970E7"/>
    <w:rsid w:val="00CA71F0"/>
    <w:rsid w:val="00CC0332"/>
    <w:rsid w:val="00CC250F"/>
    <w:rsid w:val="00CC6A6D"/>
    <w:rsid w:val="00CF252D"/>
    <w:rsid w:val="00D01F2E"/>
    <w:rsid w:val="00D23EEF"/>
    <w:rsid w:val="00D45F94"/>
    <w:rsid w:val="00DA6856"/>
    <w:rsid w:val="00DB6DDE"/>
    <w:rsid w:val="00DC58C8"/>
    <w:rsid w:val="00DD59A4"/>
    <w:rsid w:val="00DD5D89"/>
    <w:rsid w:val="00E71E4F"/>
    <w:rsid w:val="00E72064"/>
    <w:rsid w:val="00EA1215"/>
    <w:rsid w:val="00EC5D89"/>
    <w:rsid w:val="00EC6E2C"/>
    <w:rsid w:val="00ED073A"/>
    <w:rsid w:val="00EE6A05"/>
    <w:rsid w:val="00F045DC"/>
    <w:rsid w:val="00F13C57"/>
    <w:rsid w:val="00F251BD"/>
    <w:rsid w:val="00F419E6"/>
    <w:rsid w:val="00F65494"/>
    <w:rsid w:val="00F6734A"/>
    <w:rsid w:val="00F81F57"/>
    <w:rsid w:val="00F8738B"/>
    <w:rsid w:val="00F912D8"/>
    <w:rsid w:val="00FA1F3A"/>
    <w:rsid w:val="00FB14C5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86AC6"/>
  <w15:chartTrackingRefBased/>
  <w15:docId w15:val="{FD79DC37-28B3-4A52-B977-B8743AC0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Wiener"/>
    <w:qFormat/>
    <w:rsid w:val="00C3293B"/>
    <w:pPr>
      <w:spacing w:line="240" w:lineRule="auto"/>
      <w:jc w:val="both"/>
    </w:pPr>
    <w:rPr>
      <w:rFonts w:ascii="Segoe UI" w:hAnsi="Segoe UI"/>
      <w:color w:val="000000" w:themeColor="text1"/>
      <w:sz w:val="20"/>
    </w:rPr>
  </w:style>
  <w:style w:type="paragraph" w:styleId="Nagwek1">
    <w:name w:val="heading 1"/>
    <w:aliases w:val="Nagłówek 1 Wiener"/>
    <w:basedOn w:val="Normalny"/>
    <w:next w:val="Normalny"/>
    <w:link w:val="Nagwek1Znak"/>
    <w:uiPriority w:val="9"/>
    <w:qFormat/>
    <w:rsid w:val="00BA63E4"/>
    <w:pPr>
      <w:keepNext/>
      <w:keepLines/>
      <w:spacing w:before="480"/>
      <w:outlineLvl w:val="0"/>
    </w:pPr>
    <w:rPr>
      <w:rFonts w:eastAsiaTheme="majorEastAsia" w:cstheme="majorBidi"/>
      <w:b/>
      <w:color w:val="00727E" w:themeColor="text2"/>
      <w:sz w:val="32"/>
      <w:szCs w:val="32"/>
    </w:rPr>
  </w:style>
  <w:style w:type="paragraph" w:styleId="Nagwek2">
    <w:name w:val="heading 2"/>
    <w:aliases w:val="Nagłówek 2 Wiener"/>
    <w:basedOn w:val="Normalny"/>
    <w:next w:val="Normalny"/>
    <w:link w:val="Nagwek2Znak"/>
    <w:uiPriority w:val="9"/>
    <w:unhideWhenUsed/>
    <w:qFormat/>
    <w:rsid w:val="00BA63E4"/>
    <w:pPr>
      <w:keepNext/>
      <w:keepLines/>
      <w:spacing w:before="480"/>
      <w:outlineLvl w:val="1"/>
    </w:pPr>
    <w:rPr>
      <w:rFonts w:eastAsiaTheme="majorEastAsia" w:cstheme="majorBidi"/>
      <w:b/>
      <w:color w:val="27A1B7" w:themeColor="background2"/>
      <w:sz w:val="24"/>
      <w:szCs w:val="26"/>
    </w:rPr>
  </w:style>
  <w:style w:type="paragraph" w:styleId="Nagwek3">
    <w:name w:val="heading 3"/>
    <w:aliases w:val="Nagłówek 3 Wiener"/>
    <w:basedOn w:val="Normalny"/>
    <w:next w:val="Normalny"/>
    <w:link w:val="Nagwek3Znak"/>
    <w:uiPriority w:val="9"/>
    <w:unhideWhenUsed/>
    <w:qFormat/>
    <w:rsid w:val="00BA63E4"/>
    <w:pPr>
      <w:keepNext/>
      <w:keepLines/>
      <w:spacing w:before="480"/>
      <w:outlineLvl w:val="2"/>
    </w:pPr>
    <w:rPr>
      <w:rFonts w:eastAsiaTheme="majorEastAsia" w:cstheme="majorBidi"/>
      <w:b/>
      <w:color w:val="00727E" w:themeColor="text2"/>
      <w:szCs w:val="24"/>
    </w:rPr>
  </w:style>
  <w:style w:type="paragraph" w:styleId="Nagwek4">
    <w:name w:val="heading 4"/>
    <w:aliases w:val="Nagłówek 4 Wiener"/>
    <w:basedOn w:val="Normalny"/>
    <w:next w:val="Normalny"/>
    <w:link w:val="Nagwek4Znak"/>
    <w:uiPriority w:val="9"/>
    <w:unhideWhenUsed/>
    <w:qFormat/>
    <w:rsid w:val="009F0163"/>
    <w:pPr>
      <w:keepNext/>
      <w:keepLines/>
      <w:spacing w:before="240"/>
      <w:outlineLvl w:val="3"/>
    </w:pPr>
    <w:rPr>
      <w:rFonts w:eastAsiaTheme="majorEastAsia" w:cstheme="majorBidi"/>
      <w:b/>
      <w:iCs/>
      <w:color w:val="27A1B7" w:themeColor="background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6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E086B"/>
  </w:style>
  <w:style w:type="paragraph" w:styleId="Stopka">
    <w:name w:val="footer"/>
    <w:basedOn w:val="Normalny"/>
    <w:link w:val="StopkaZnak"/>
    <w:uiPriority w:val="99"/>
    <w:unhideWhenUsed/>
    <w:rsid w:val="000E086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E086B"/>
  </w:style>
  <w:style w:type="paragraph" w:styleId="NormalnyWeb">
    <w:name w:val="Normal (Web)"/>
    <w:basedOn w:val="Normalny"/>
    <w:uiPriority w:val="99"/>
    <w:semiHidden/>
    <w:unhideWhenUsed/>
    <w:rsid w:val="00F419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aliases w:val="Nagłówek 1 Wiener Znak"/>
    <w:basedOn w:val="Domylnaczcionkaakapitu"/>
    <w:link w:val="Nagwek1"/>
    <w:uiPriority w:val="9"/>
    <w:rsid w:val="00BA63E4"/>
    <w:rPr>
      <w:rFonts w:ascii="Segoe UI" w:eastAsiaTheme="majorEastAsia" w:hAnsi="Segoe UI" w:cstheme="majorBidi"/>
      <w:b/>
      <w:color w:val="00727E" w:themeColor="text2"/>
      <w:sz w:val="32"/>
      <w:szCs w:val="32"/>
    </w:rPr>
  </w:style>
  <w:style w:type="character" w:customStyle="1" w:styleId="Nagwek2Znak">
    <w:name w:val="Nagłówek 2 Znak"/>
    <w:aliases w:val="Nagłówek 2 Wiener Znak"/>
    <w:basedOn w:val="Domylnaczcionkaakapitu"/>
    <w:link w:val="Nagwek2"/>
    <w:uiPriority w:val="9"/>
    <w:rsid w:val="00BA63E4"/>
    <w:rPr>
      <w:rFonts w:ascii="Segoe UI" w:eastAsiaTheme="majorEastAsia" w:hAnsi="Segoe UI" w:cstheme="majorBidi"/>
      <w:b/>
      <w:color w:val="27A1B7" w:themeColor="background2"/>
      <w:sz w:val="24"/>
      <w:szCs w:val="26"/>
    </w:rPr>
  </w:style>
  <w:style w:type="character" w:customStyle="1" w:styleId="Nagwek3Znak">
    <w:name w:val="Nagłówek 3 Znak"/>
    <w:aliases w:val="Nagłówek 3 Wiener Znak"/>
    <w:basedOn w:val="Domylnaczcionkaakapitu"/>
    <w:link w:val="Nagwek3"/>
    <w:uiPriority w:val="9"/>
    <w:rsid w:val="00BA63E4"/>
    <w:rPr>
      <w:rFonts w:ascii="Segoe UI" w:eastAsiaTheme="majorEastAsia" w:hAnsi="Segoe UI" w:cstheme="majorBidi"/>
      <w:b/>
      <w:color w:val="00727E" w:themeColor="text2"/>
      <w:sz w:val="20"/>
      <w:szCs w:val="24"/>
    </w:rPr>
  </w:style>
  <w:style w:type="character" w:customStyle="1" w:styleId="Nagwek4Znak">
    <w:name w:val="Nagłówek 4 Znak"/>
    <w:aliases w:val="Nagłówek 4 Wiener Znak"/>
    <w:basedOn w:val="Domylnaczcionkaakapitu"/>
    <w:link w:val="Nagwek4"/>
    <w:uiPriority w:val="9"/>
    <w:rsid w:val="009F0163"/>
    <w:rPr>
      <w:rFonts w:ascii="Segoe UI" w:eastAsiaTheme="majorEastAsia" w:hAnsi="Segoe UI" w:cstheme="majorBidi"/>
      <w:b/>
      <w:iCs/>
      <w:color w:val="27A1B7" w:themeColor="background2"/>
      <w:sz w:val="20"/>
    </w:rPr>
  </w:style>
  <w:style w:type="paragraph" w:styleId="Akapitzlist">
    <w:name w:val="List Paragraph"/>
    <w:aliases w:val="Punktor11 Wiener"/>
    <w:basedOn w:val="Normalny"/>
    <w:uiPriority w:val="34"/>
    <w:qFormat/>
    <w:rsid w:val="00936967"/>
    <w:pPr>
      <w:numPr>
        <w:numId w:val="14"/>
      </w:numPr>
      <w:spacing w:after="120"/>
      <w:contextualSpacing/>
    </w:pPr>
  </w:style>
  <w:style w:type="paragraph" w:customStyle="1" w:styleId="Punktor1Wiener">
    <w:name w:val="Punktor1 Wiener"/>
    <w:basedOn w:val="Akapitzlist"/>
    <w:qFormat/>
    <w:rsid w:val="00B67F9D"/>
  </w:style>
  <w:style w:type="paragraph" w:customStyle="1" w:styleId="Punktor2Wiener">
    <w:name w:val="Punktor2 Wiener"/>
    <w:basedOn w:val="Akapitzlist"/>
    <w:qFormat/>
    <w:rsid w:val="007416A2"/>
    <w:pPr>
      <w:numPr>
        <w:ilvl w:val="1"/>
      </w:numPr>
    </w:pPr>
  </w:style>
  <w:style w:type="paragraph" w:customStyle="1" w:styleId="Punktor3Wiener">
    <w:name w:val="Punktor3 Wiener"/>
    <w:basedOn w:val="Akapitzlist"/>
    <w:qFormat/>
    <w:rsid w:val="007416A2"/>
    <w:pPr>
      <w:numPr>
        <w:ilvl w:val="2"/>
      </w:numPr>
    </w:pPr>
  </w:style>
  <w:style w:type="paragraph" w:customStyle="1" w:styleId="Numerowanie1Wiener">
    <w:name w:val="Numerowanie1 Wiener"/>
    <w:basedOn w:val="Normalny"/>
    <w:qFormat/>
    <w:rsid w:val="00C56A10"/>
    <w:pPr>
      <w:numPr>
        <w:numId w:val="18"/>
      </w:numPr>
      <w:spacing w:after="120"/>
      <w:contextualSpacing/>
    </w:pPr>
  </w:style>
  <w:style w:type="paragraph" w:customStyle="1" w:styleId="Numerowanie2Wiener">
    <w:name w:val="Numerowanie2 Wiener"/>
    <w:basedOn w:val="Normalny"/>
    <w:qFormat/>
    <w:rsid w:val="00C56A10"/>
    <w:pPr>
      <w:numPr>
        <w:ilvl w:val="1"/>
        <w:numId w:val="18"/>
      </w:numPr>
      <w:spacing w:after="120"/>
      <w:contextualSpacing/>
    </w:pPr>
  </w:style>
  <w:style w:type="paragraph" w:customStyle="1" w:styleId="Numerowanie3Wiener">
    <w:name w:val="Numerowanie3 Wiener"/>
    <w:basedOn w:val="Normalny"/>
    <w:qFormat/>
    <w:rsid w:val="00C56A10"/>
    <w:pPr>
      <w:numPr>
        <w:ilvl w:val="2"/>
        <w:numId w:val="18"/>
      </w:numPr>
      <w:spacing w:after="120"/>
      <w:contextualSpacing/>
    </w:pPr>
  </w:style>
  <w:style w:type="paragraph" w:customStyle="1" w:styleId="Numerowanie4Wiener">
    <w:name w:val="Numerowanie4 Wiener"/>
    <w:basedOn w:val="Normalny"/>
    <w:qFormat/>
    <w:rsid w:val="00C56A10"/>
    <w:pPr>
      <w:numPr>
        <w:ilvl w:val="3"/>
        <w:numId w:val="18"/>
      </w:numPr>
      <w:spacing w:after="1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35CB0"/>
    <w:pPr>
      <w:spacing w:before="240" w:after="0"/>
      <w:jc w:val="center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40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9040C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A9040C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A9040C"/>
    <w:rPr>
      <w:color w:val="000000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9D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9DF"/>
    <w:rPr>
      <w:rFonts w:ascii="Segoe UI" w:hAnsi="Segoe U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9DF"/>
    <w:rPr>
      <w:rFonts w:ascii="Segoe UI" w:hAnsi="Segoe UI"/>
      <w:b/>
      <w:bCs/>
      <w:color w:val="000000" w:themeColor="tex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9DF"/>
    <w:pPr>
      <w:spacing w:after="0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9DF"/>
    <w:rPr>
      <w:rFonts w:ascii="Segoe UI" w:hAnsi="Segoe UI" w:cs="Segoe UI"/>
      <w:color w:val="000000" w:themeColor="tex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F51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F51"/>
    <w:rPr>
      <w:rFonts w:ascii="Segoe UI" w:hAnsi="Segoe U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F51"/>
    <w:rPr>
      <w:vertAlign w:val="superscript"/>
    </w:rPr>
  </w:style>
  <w:style w:type="table" w:styleId="Tabela-Siatka">
    <w:name w:val="Table Grid"/>
    <w:basedOn w:val="Standardowy"/>
    <w:uiPriority w:val="39"/>
    <w:rsid w:val="005B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4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5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0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9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5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iener">
      <a:dk1>
        <a:sysClr val="windowText" lastClr="000000"/>
      </a:dk1>
      <a:lt1>
        <a:srgbClr val="FFFFFF"/>
      </a:lt1>
      <a:dk2>
        <a:srgbClr val="00727E"/>
      </a:dk2>
      <a:lt2>
        <a:srgbClr val="27A1B7"/>
      </a:lt2>
      <a:accent1>
        <a:srgbClr val="FCB316"/>
      </a:accent1>
      <a:accent2>
        <a:srgbClr val="FF6800"/>
      </a:accent2>
      <a:accent3>
        <a:srgbClr val="27D0E4"/>
      </a:accent3>
      <a:accent4>
        <a:srgbClr val="E2000F"/>
      </a:accent4>
      <a:accent5>
        <a:srgbClr val="EFEDEB"/>
      </a:accent5>
      <a:accent6>
        <a:srgbClr val="FFFFFF"/>
      </a:accent6>
      <a:hlink>
        <a:srgbClr val="000000"/>
      </a:hlink>
      <a:folHlink>
        <a:srgbClr val="000000"/>
      </a:folHlink>
    </a:clrScheme>
    <a:fontScheme name="Wiener">
      <a:majorFont>
        <a:latin typeface="Seg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498F-D5D0-4062-9FDB-B08EB06B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Gothaer Towarzystwo Ubezpieczeń S.A.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Kulasza</dc:creator>
  <cp:keywords/>
  <dc:description/>
  <cp:lastModifiedBy>Katarzyna Okrągły</cp:lastModifiedBy>
  <cp:revision>3</cp:revision>
  <cp:lastPrinted>2019-06-24T10:52:00Z</cp:lastPrinted>
  <dcterms:created xsi:type="dcterms:W3CDTF">2021-07-02T10:37:00Z</dcterms:created>
  <dcterms:modified xsi:type="dcterms:W3CDTF">2021-07-09T11:21:00Z</dcterms:modified>
</cp:coreProperties>
</file>